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4971" w14:textId="25A65B13" w:rsidR="00000000" w:rsidRDefault="00000000">
      <w:pPr>
        <w:bidi/>
        <w:spacing w:line="280" w:lineRule="exact"/>
        <w:jc w:val="both"/>
        <w:rPr>
          <w:rFonts w:cs="FrankRuehl" w:hint="cs"/>
          <w:sz w:val="20"/>
          <w:szCs w:val="26"/>
          <w:rtl/>
          <w:lang w:bidi="he-IL"/>
        </w:rPr>
      </w:pPr>
      <w:r>
        <w:rPr>
          <w:rFonts w:cs="FrankRuehl" w:hint="cs"/>
          <w:sz w:val="20"/>
          <w:szCs w:val="26"/>
          <w:rtl/>
          <w:lang w:bidi="he-IL"/>
        </w:rPr>
        <w:t xml:space="preserve">הרב א. קניגסברג           </w:t>
      </w:r>
      <w:r w:rsidR="00437D0F">
        <w:rPr>
          <w:rFonts w:cs="FrankRuehl" w:hint="cs"/>
          <w:sz w:val="20"/>
          <w:szCs w:val="26"/>
          <w:rtl/>
          <w:lang w:bidi="he-IL"/>
        </w:rPr>
        <w:t xml:space="preserve"> </w:t>
      </w:r>
      <w:r>
        <w:rPr>
          <w:rFonts w:cs="FrankRuehl" w:hint="cs"/>
          <w:sz w:val="20"/>
          <w:szCs w:val="26"/>
          <w:rtl/>
          <w:lang w:bidi="he-IL"/>
        </w:rPr>
        <w:t xml:space="preserve"> </w:t>
      </w:r>
      <w:r w:rsidR="00517FB7">
        <w:rPr>
          <w:rFonts w:cs="FrankRuehl" w:hint="cs"/>
          <w:sz w:val="20"/>
          <w:szCs w:val="26"/>
          <w:rtl/>
          <w:lang w:bidi="he-IL"/>
        </w:rPr>
        <w:t xml:space="preserve"> </w:t>
      </w:r>
      <w:r w:rsidR="00287B66">
        <w:rPr>
          <w:rFonts w:cs="FrankRuehl" w:hint="cs"/>
          <w:sz w:val="20"/>
          <w:szCs w:val="26"/>
          <w:rtl/>
          <w:lang w:bidi="he-IL"/>
        </w:rPr>
        <w:t xml:space="preserve"> </w:t>
      </w:r>
      <w:r>
        <w:rPr>
          <w:rFonts w:cs="FrankRuehl" w:hint="cs"/>
          <w:sz w:val="20"/>
          <w:szCs w:val="26"/>
          <w:rtl/>
          <w:lang w:bidi="he-IL"/>
        </w:rPr>
        <w:t xml:space="preserve">   </w:t>
      </w:r>
      <w:r>
        <w:rPr>
          <w:rFonts w:cs="FrankRuehl"/>
          <w:sz w:val="20"/>
          <w:szCs w:val="26"/>
          <w:lang w:bidi="he-IL"/>
        </w:rPr>
        <w:t xml:space="preserve"> </w:t>
      </w:r>
      <w:r w:rsidR="00A940AA">
        <w:rPr>
          <w:rFonts w:cs="FrankRuehl" w:hint="cs"/>
          <w:sz w:val="20"/>
          <w:szCs w:val="26"/>
          <w:rtl/>
          <w:lang w:bidi="he-IL"/>
        </w:rPr>
        <w:t xml:space="preserve"> </w:t>
      </w:r>
      <w:r>
        <w:rPr>
          <w:rFonts w:cs="FrankRuehl"/>
          <w:sz w:val="20"/>
          <w:szCs w:val="26"/>
          <w:lang w:bidi="he-IL"/>
        </w:rPr>
        <w:t xml:space="preserve">  </w:t>
      </w:r>
      <w:r>
        <w:rPr>
          <w:rFonts w:cs="FrankRuehl" w:hint="cs"/>
          <w:sz w:val="20"/>
          <w:szCs w:val="26"/>
          <w:rtl/>
          <w:lang w:bidi="he-IL"/>
        </w:rPr>
        <w:t xml:space="preserve">  </w:t>
      </w:r>
      <w:r w:rsidR="00995EC3">
        <w:rPr>
          <w:rFonts w:cs="FrankRuehl" w:hint="cs"/>
          <w:sz w:val="20"/>
          <w:szCs w:val="26"/>
          <w:rtl/>
          <w:lang w:bidi="he-IL"/>
        </w:rPr>
        <w:t xml:space="preserve"> </w:t>
      </w:r>
      <w:r w:rsidR="004545BD">
        <w:rPr>
          <w:rFonts w:cs="FrankRuehl" w:hint="cs"/>
          <w:sz w:val="20"/>
          <w:szCs w:val="26"/>
          <w:rtl/>
          <w:lang w:bidi="he-IL"/>
        </w:rPr>
        <w:t xml:space="preserve"> </w:t>
      </w:r>
      <w:r>
        <w:rPr>
          <w:rFonts w:cs="FrankRuehl" w:hint="cs"/>
          <w:sz w:val="20"/>
          <w:szCs w:val="26"/>
          <w:rtl/>
          <w:lang w:bidi="he-IL"/>
        </w:rPr>
        <w:t xml:space="preserve"> </w:t>
      </w:r>
      <w:r>
        <w:rPr>
          <w:rFonts w:cs="FrankRuehl" w:hint="cs"/>
          <w:sz w:val="20"/>
          <w:szCs w:val="26"/>
          <w:u w:val="single"/>
          <w:rtl/>
          <w:lang w:bidi="he-IL"/>
        </w:rPr>
        <w:t>שאלות לחזרה במס</w:t>
      </w:r>
      <w:r w:rsidR="00072B3D">
        <w:rPr>
          <w:rFonts w:cs="FrankRuehl" w:hint="cs"/>
          <w:sz w:val="20"/>
          <w:szCs w:val="26"/>
          <w:u w:val="single"/>
          <w:rtl/>
          <w:lang w:bidi="he-IL"/>
        </w:rPr>
        <w:t>כת</w:t>
      </w:r>
      <w:r>
        <w:rPr>
          <w:rFonts w:cs="FrankRuehl" w:hint="cs"/>
          <w:sz w:val="20"/>
          <w:szCs w:val="26"/>
          <w:u w:val="single"/>
          <w:rtl/>
          <w:lang w:bidi="he-IL"/>
        </w:rPr>
        <w:t xml:space="preserve"> ברכות (כז.-ל:)</w:t>
      </w:r>
      <w:r>
        <w:rPr>
          <w:rFonts w:cs="FrankRuehl" w:hint="cs"/>
          <w:sz w:val="20"/>
          <w:szCs w:val="26"/>
          <w:rtl/>
          <w:lang w:bidi="he-IL"/>
        </w:rPr>
        <w:tab/>
      </w:r>
      <w:r>
        <w:rPr>
          <w:rFonts w:cs="FrankRuehl"/>
          <w:sz w:val="20"/>
          <w:szCs w:val="26"/>
          <w:lang w:bidi="he-IL"/>
        </w:rPr>
        <w:tab/>
      </w:r>
      <w:r>
        <w:rPr>
          <w:rFonts w:cs="FrankRuehl" w:hint="cs"/>
          <w:sz w:val="20"/>
          <w:szCs w:val="26"/>
          <w:rtl/>
          <w:lang w:bidi="he-IL"/>
        </w:rPr>
        <w:tab/>
      </w:r>
      <w:r>
        <w:rPr>
          <w:rFonts w:cs="FrankRuehl" w:hint="cs"/>
          <w:sz w:val="20"/>
          <w:szCs w:val="26"/>
          <w:rtl/>
          <w:lang w:bidi="he-IL"/>
        </w:rPr>
        <w:tab/>
      </w:r>
      <w:r>
        <w:rPr>
          <w:rFonts w:cs="FrankRuehl" w:hint="cs"/>
          <w:sz w:val="20"/>
          <w:szCs w:val="26"/>
          <w:rtl/>
          <w:lang w:bidi="he-IL"/>
        </w:rPr>
        <w:tab/>
        <w:t>ניסן תש</w:t>
      </w:r>
      <w:r w:rsidR="00437D0F">
        <w:rPr>
          <w:rFonts w:cs="FrankRuehl" w:hint="cs"/>
          <w:sz w:val="20"/>
          <w:szCs w:val="26"/>
          <w:rtl/>
          <w:lang w:bidi="he-IL"/>
        </w:rPr>
        <w:t>פ"ד</w:t>
      </w:r>
    </w:p>
    <w:p w14:paraId="0D903DDC" w14:textId="77777777" w:rsidR="00000000" w:rsidRDefault="00000000">
      <w:pPr>
        <w:bidi/>
        <w:jc w:val="both"/>
        <w:rPr>
          <w:rFonts w:cs="FrankRuehl" w:hint="cs"/>
          <w:sz w:val="20"/>
          <w:szCs w:val="26"/>
          <w:rtl/>
          <w:lang w:bidi="he-IL"/>
        </w:rPr>
      </w:pPr>
    </w:p>
    <w:p w14:paraId="71A1D12C" w14:textId="77777777" w:rsidR="00000000" w:rsidRDefault="00000000">
      <w:pPr>
        <w:bidi/>
        <w:jc w:val="both"/>
        <w:rPr>
          <w:rFonts w:cs="FrankRuehl" w:hint="cs"/>
          <w:sz w:val="20"/>
          <w:szCs w:val="26"/>
          <w:rtl/>
          <w:lang w:bidi="he-IL"/>
        </w:rPr>
      </w:pPr>
    </w:p>
    <w:p w14:paraId="67E28449" w14:textId="77777777" w:rsidR="00000000" w:rsidRDefault="00000000">
      <w:pPr>
        <w:pStyle w:val="BodyText"/>
        <w:rPr>
          <w:rFonts w:hint="cs"/>
          <w:rtl/>
        </w:rPr>
      </w:pPr>
      <w:r>
        <w:rPr>
          <w:rFonts w:hint="cs"/>
          <w:sz w:val="20"/>
          <w:rtl/>
        </w:rPr>
        <w:t>1.  למה אסור לעבור כנגד המתפלל?  תן ב' טעמים בזה, וב' נפקא מינה ביניהם.</w:t>
      </w:r>
    </w:p>
    <w:p w14:paraId="77F9D5BC" w14:textId="6999CF09" w:rsidR="00000000" w:rsidRDefault="00000000">
      <w:pPr>
        <w:pStyle w:val="BodyText"/>
        <w:rPr>
          <w:rFonts w:hint="cs"/>
          <w:rtl/>
        </w:rPr>
      </w:pPr>
      <w:r>
        <w:rPr>
          <w:rFonts w:hint="cs"/>
          <w:rtl/>
        </w:rPr>
        <w:t>[משנ"ב (סי' קב ס"ק ב, טו), ב</w:t>
      </w:r>
      <w:r w:rsidR="00DB1E84">
        <w:rPr>
          <w:rFonts w:hint="cs"/>
          <w:rtl/>
        </w:rPr>
        <w:t>יאור הלכה</w:t>
      </w:r>
      <w:r>
        <w:rPr>
          <w:rFonts w:hint="cs"/>
          <w:rtl/>
        </w:rPr>
        <w:t xml:space="preserve"> שם (ד"ה אסור), אשל אברהם שם (ד"ה לא, אודות)]</w:t>
      </w:r>
    </w:p>
    <w:p w14:paraId="468978BE" w14:textId="77777777" w:rsidR="00000000" w:rsidRDefault="00000000">
      <w:pPr>
        <w:pStyle w:val="BodyText"/>
        <w:rPr>
          <w:rFonts w:hint="cs"/>
          <w:rtl/>
        </w:rPr>
      </w:pPr>
    </w:p>
    <w:p w14:paraId="22E9FD26" w14:textId="00EC1A3D" w:rsidR="00000000" w:rsidRDefault="00000000">
      <w:pPr>
        <w:pStyle w:val="BodyText"/>
        <w:rPr>
          <w:rFonts w:hint="cs"/>
          <w:rtl/>
        </w:rPr>
      </w:pPr>
      <w:r>
        <w:rPr>
          <w:rFonts w:hint="cs"/>
          <w:rtl/>
        </w:rPr>
        <w:t>2.  מתי מותר לישב בתוך ד' אמות של המתפלל?  ולמה?</w:t>
      </w:r>
    </w:p>
    <w:p w14:paraId="05A15268" w14:textId="79896989" w:rsidR="00000000" w:rsidRDefault="00000000">
      <w:pPr>
        <w:pStyle w:val="BodyText"/>
        <w:rPr>
          <w:rFonts w:hint="cs"/>
          <w:rtl/>
        </w:rPr>
      </w:pPr>
      <w:r>
        <w:rPr>
          <w:rFonts w:hint="cs"/>
          <w:rtl/>
        </w:rPr>
        <w:t>[טור (סי' קב), ב"י שם בשם סמ"ג, ט"ז שם (ס"ק ג)</w:t>
      </w:r>
      <w:r w:rsidR="00E70AE3">
        <w:rPr>
          <w:rFonts w:hint="cs"/>
          <w:rtl/>
        </w:rPr>
        <w:t xml:space="preserve">, רא"ה </w:t>
      </w:r>
      <w:r w:rsidR="00C8137C">
        <w:rPr>
          <w:rFonts w:hint="cs"/>
          <w:rtl/>
        </w:rPr>
        <w:t>(</w:t>
      </w:r>
      <w:r w:rsidR="00DC6942">
        <w:rPr>
          <w:rFonts w:hint="cs"/>
          <w:rtl/>
        </w:rPr>
        <w:t xml:space="preserve">לא: </w:t>
      </w:r>
      <w:r w:rsidR="00C8137C">
        <w:rPr>
          <w:rFonts w:hint="cs"/>
          <w:rtl/>
        </w:rPr>
        <w:t>ד"ה ותאמר)</w:t>
      </w:r>
      <w:r>
        <w:rPr>
          <w:rFonts w:hint="cs"/>
          <w:rtl/>
        </w:rPr>
        <w:t>]</w:t>
      </w:r>
    </w:p>
    <w:p w14:paraId="18E30AB8" w14:textId="77777777" w:rsidR="00000000" w:rsidRDefault="00000000">
      <w:pPr>
        <w:pStyle w:val="BodyText"/>
        <w:rPr>
          <w:rFonts w:hint="cs"/>
          <w:rtl/>
        </w:rPr>
      </w:pPr>
    </w:p>
    <w:p w14:paraId="591EEB64" w14:textId="53F730E5" w:rsidR="00000000" w:rsidRDefault="00000000">
      <w:pPr>
        <w:pStyle w:val="BodyText"/>
        <w:rPr>
          <w:rFonts w:hint="cs"/>
          <w:rtl/>
        </w:rPr>
      </w:pPr>
      <w:r>
        <w:rPr>
          <w:rFonts w:hint="cs"/>
          <w:rtl/>
        </w:rPr>
        <w:t>3.  מה הדין אם יחיד או ציבור התפללו ערבית של שבת בערב שבת לפני השקיעה מפני שטעו וחשבו שכבר הגיע הלילה</w:t>
      </w:r>
      <w:r w:rsidR="009B345D">
        <w:rPr>
          <w:rFonts w:hint="cs"/>
          <w:rtl/>
        </w:rPr>
        <w:t xml:space="preserve">: </w:t>
      </w:r>
      <w:r>
        <w:rPr>
          <w:rFonts w:hint="cs"/>
          <w:rtl/>
        </w:rPr>
        <w:t xml:space="preserve"> א)  האם תפילתם תפילה</w:t>
      </w:r>
      <w:r w:rsidR="009B345D">
        <w:rPr>
          <w:rFonts w:hint="cs"/>
          <w:rtl/>
        </w:rPr>
        <w:t>?</w:t>
      </w:r>
      <w:r>
        <w:rPr>
          <w:rFonts w:hint="cs"/>
          <w:rtl/>
        </w:rPr>
        <w:t xml:space="preserve">  ב)  האם קבלת שבת שלהם נחשבת כקבלה?</w:t>
      </w:r>
      <w:r w:rsidR="009A2545">
        <w:rPr>
          <w:rFonts w:hint="cs"/>
          <w:rtl/>
        </w:rPr>
        <w:t xml:space="preserve">  ו</w:t>
      </w:r>
      <w:r w:rsidR="00D5017A">
        <w:rPr>
          <w:rFonts w:hint="cs"/>
          <w:rtl/>
        </w:rPr>
        <w:t>למה?</w:t>
      </w:r>
    </w:p>
    <w:p w14:paraId="12393E29" w14:textId="16164C7B" w:rsidR="00000000" w:rsidRDefault="00000000">
      <w:pPr>
        <w:pStyle w:val="BodyText"/>
        <w:rPr>
          <w:rFonts w:hint="cs"/>
          <w:rtl/>
        </w:rPr>
      </w:pPr>
      <w:r>
        <w:rPr>
          <w:rFonts w:hint="cs"/>
          <w:rtl/>
        </w:rPr>
        <w:t xml:space="preserve">[גמ' (כז:), רש"י </w:t>
      </w:r>
      <w:r w:rsidR="003905B7">
        <w:rPr>
          <w:rFonts w:hint="cs"/>
          <w:rtl/>
        </w:rPr>
        <w:t>ונחלת דוד</w:t>
      </w:r>
      <w:r>
        <w:rPr>
          <w:rFonts w:hint="cs"/>
          <w:rtl/>
        </w:rPr>
        <w:t xml:space="preserve"> שם, תוס' שם (ד"ה שאני) ומהרש"א שם</w:t>
      </w:r>
      <w:r w:rsidR="008C505B">
        <w:rPr>
          <w:rFonts w:hint="cs"/>
          <w:rtl/>
        </w:rPr>
        <w:t xml:space="preserve">, ריטב"א (כז.) ותוס' שם (ד"ה </w:t>
      </w:r>
      <w:r w:rsidR="006E2C02">
        <w:rPr>
          <w:rFonts w:hint="cs"/>
          <w:rtl/>
        </w:rPr>
        <w:t>דרב)</w:t>
      </w:r>
      <w:r>
        <w:rPr>
          <w:rFonts w:hint="cs"/>
          <w:rtl/>
        </w:rPr>
        <w:t>]</w:t>
      </w:r>
    </w:p>
    <w:p w14:paraId="391274C6" w14:textId="77777777" w:rsidR="00000000" w:rsidRDefault="00000000">
      <w:pPr>
        <w:pStyle w:val="BodyText"/>
        <w:rPr>
          <w:rFonts w:hint="cs"/>
          <w:rtl/>
        </w:rPr>
      </w:pPr>
    </w:p>
    <w:p w14:paraId="1416AD85" w14:textId="77777777" w:rsidR="00000000" w:rsidRDefault="00000000">
      <w:pPr>
        <w:pStyle w:val="BodyText"/>
        <w:rPr>
          <w:rFonts w:hint="cs"/>
          <w:rtl/>
        </w:rPr>
      </w:pPr>
      <w:r>
        <w:rPr>
          <w:rFonts w:hint="cs"/>
          <w:rtl/>
        </w:rPr>
        <w:t>4.  במה נחלקו המג"א והמחצית השקל ביחיד שטעה והתפלל ערבית לפני השקיעה?  מה קשה בשיטת המג"א?  והיאך אפשר ליישב שיטתו?</w:t>
      </w:r>
    </w:p>
    <w:p w14:paraId="450B75C6" w14:textId="77777777" w:rsidR="00000000" w:rsidRDefault="00000000">
      <w:pPr>
        <w:pStyle w:val="BodyText"/>
        <w:rPr>
          <w:rFonts w:hint="cs"/>
          <w:rtl/>
        </w:rPr>
      </w:pPr>
      <w:r>
        <w:rPr>
          <w:rFonts w:hint="cs"/>
          <w:rtl/>
        </w:rPr>
        <w:t>[מג"א (סי' רסג ס"ק כו) ומחה"ש שם, ר"ן ר"ה (ז: בדפי הרי"ף ד"ה אבל, לא), מג"א (סי' ס ס"ק ג)]</w:t>
      </w:r>
    </w:p>
    <w:p w14:paraId="63B1F815" w14:textId="77777777" w:rsidR="00000000" w:rsidRDefault="00000000">
      <w:pPr>
        <w:pStyle w:val="BodyText"/>
        <w:rPr>
          <w:rFonts w:hint="cs"/>
          <w:rtl/>
        </w:rPr>
      </w:pPr>
    </w:p>
    <w:p w14:paraId="3D871E96" w14:textId="77777777" w:rsidR="00000000" w:rsidRDefault="00000000">
      <w:pPr>
        <w:pStyle w:val="BodyText"/>
        <w:rPr>
          <w:rFonts w:hint="cs"/>
          <w:rtl/>
        </w:rPr>
      </w:pPr>
      <w:r>
        <w:rPr>
          <w:rFonts w:hint="cs"/>
          <w:rtl/>
        </w:rPr>
        <w:t>5.  האם יכול לקיים מצות סעודת שבת בזמן תוספת שבת?  מה הקשר בין שאלה זו לשאלה הכללית בגדר דין תוספת שבת?  ותן עוד ב' נפק"מ בדבר.</w:t>
      </w:r>
    </w:p>
    <w:p w14:paraId="03AD3BFC" w14:textId="77777777" w:rsidR="00000000" w:rsidRDefault="00000000">
      <w:pPr>
        <w:pStyle w:val="BodyText"/>
        <w:rPr>
          <w:rFonts w:hint="cs"/>
          <w:rtl/>
        </w:rPr>
      </w:pPr>
      <w:r>
        <w:rPr>
          <w:rFonts w:hint="cs"/>
          <w:rtl/>
        </w:rPr>
        <w:t>[תוס' פסחים (צט:), ט"ז (סוף סי' תרסח), ט"ז (ריש סי' תצד)]</w:t>
      </w:r>
    </w:p>
    <w:p w14:paraId="27E2DDB5" w14:textId="77777777" w:rsidR="00000000" w:rsidRDefault="00000000">
      <w:pPr>
        <w:pStyle w:val="BodyText"/>
        <w:rPr>
          <w:rFonts w:hint="cs"/>
          <w:rtl/>
        </w:rPr>
      </w:pPr>
    </w:p>
    <w:p w14:paraId="45603435" w14:textId="77777777" w:rsidR="00000000" w:rsidRDefault="00000000">
      <w:pPr>
        <w:pStyle w:val="BodyText"/>
        <w:rPr>
          <w:rFonts w:hint="cs"/>
          <w:rtl/>
        </w:rPr>
      </w:pPr>
      <w:r>
        <w:rPr>
          <w:rFonts w:hint="cs"/>
          <w:rtl/>
        </w:rPr>
        <w:t>6.  מבואר בגמ' שיכול אדם לקדש בזמן תוספת שבת.  וצ"ע דהיאך יכול לקדש לפני השבת? (3)</w:t>
      </w:r>
    </w:p>
    <w:p w14:paraId="16BFABB9" w14:textId="77777777" w:rsidR="00000000" w:rsidRDefault="00000000">
      <w:pPr>
        <w:pStyle w:val="BodyText"/>
        <w:rPr>
          <w:rFonts w:hint="cs"/>
          <w:rtl/>
        </w:rPr>
      </w:pPr>
      <w:r>
        <w:rPr>
          <w:rFonts w:hint="cs"/>
          <w:rtl/>
        </w:rPr>
        <w:t>[ריטב"א (כז: ד"ה אומר), מרדכי מגילה (סי' תשצח) בשם רבינו טוביה, כס"מ הל' שבת (פ"ה ה"ג), רמב"ם הל' שבת (פכ"ט הי"א) ותוס' הרא"ש ברכות (כז:)]</w:t>
      </w:r>
    </w:p>
    <w:p w14:paraId="522BA336" w14:textId="77777777" w:rsidR="00000000" w:rsidRDefault="00000000">
      <w:pPr>
        <w:pStyle w:val="BodyText"/>
        <w:rPr>
          <w:rFonts w:hint="cs"/>
          <w:rtl/>
        </w:rPr>
      </w:pPr>
    </w:p>
    <w:p w14:paraId="6F2121A3" w14:textId="77777777" w:rsidR="00000000" w:rsidRDefault="00000000">
      <w:pPr>
        <w:pStyle w:val="BodyText"/>
        <w:rPr>
          <w:rFonts w:hint="cs"/>
          <w:rtl/>
        </w:rPr>
      </w:pPr>
      <w:r>
        <w:rPr>
          <w:rFonts w:hint="cs"/>
          <w:rtl/>
        </w:rPr>
        <w:t>7.  מה הדין ביוה"כ אם כבר הגיע זמן המנחה ועדיין לא התפללו מוסף, מה יתפללו קודם, ולמה? (4)</w:t>
      </w:r>
    </w:p>
    <w:p w14:paraId="65144DF1" w14:textId="77777777" w:rsidR="00000000" w:rsidRDefault="00000000">
      <w:pPr>
        <w:pStyle w:val="BodyText"/>
        <w:rPr>
          <w:rFonts w:hint="cs"/>
          <w:rtl/>
        </w:rPr>
      </w:pPr>
      <w:r>
        <w:rPr>
          <w:rFonts w:hint="cs"/>
          <w:rtl/>
        </w:rPr>
        <w:t>[תוס' (כח. ד"ה הלכה), רבינו יונה (יט. בדפי הרי"ף ד"ה ויש), רמב"ם הל' תפילה (פ"ג הי"א)]</w:t>
      </w:r>
    </w:p>
    <w:p w14:paraId="56FF0DC3" w14:textId="77777777" w:rsidR="00000000" w:rsidRDefault="00000000">
      <w:pPr>
        <w:pStyle w:val="BodyText"/>
        <w:rPr>
          <w:rFonts w:hint="cs"/>
          <w:rtl/>
        </w:rPr>
      </w:pPr>
    </w:p>
    <w:p w14:paraId="11BFCB4F" w14:textId="77777777" w:rsidR="00000000" w:rsidRDefault="00000000">
      <w:pPr>
        <w:pStyle w:val="BodyText"/>
        <w:rPr>
          <w:rFonts w:hint="cs"/>
          <w:rtl/>
        </w:rPr>
      </w:pPr>
      <w:r>
        <w:rPr>
          <w:rFonts w:hint="cs"/>
          <w:rtl/>
        </w:rPr>
        <w:t>8.  באר גדר דין "תדיר ושאינו תדיר, תדיר קודם" בב' דרכים, ותן ב' נפק"מ בין הדרכים.</w:t>
      </w:r>
    </w:p>
    <w:p w14:paraId="05E74489" w14:textId="77777777" w:rsidR="00000000" w:rsidRDefault="00000000">
      <w:pPr>
        <w:pStyle w:val="BodyText"/>
        <w:rPr>
          <w:rFonts w:hint="cs"/>
          <w:rtl/>
        </w:rPr>
      </w:pPr>
      <w:r>
        <w:rPr>
          <w:rFonts w:hint="cs"/>
          <w:rtl/>
        </w:rPr>
        <w:t>[רמב"ם הל' תמידין ומוספין (פ"א ה"ג), רשב"א (כח. ד"ה ת"ר) ורא"ה שם (ד"ה תנו), קובץ שיעורים פסחים (אות ר"ה)]</w:t>
      </w:r>
    </w:p>
    <w:p w14:paraId="143CDD0A" w14:textId="77777777" w:rsidR="00000000" w:rsidRDefault="00000000">
      <w:pPr>
        <w:pStyle w:val="BodyText"/>
        <w:rPr>
          <w:rFonts w:hint="cs"/>
          <w:rtl/>
        </w:rPr>
      </w:pPr>
    </w:p>
    <w:p w14:paraId="7DF894FB" w14:textId="424D076D" w:rsidR="00000000" w:rsidRDefault="00000000">
      <w:pPr>
        <w:pStyle w:val="BodyText"/>
        <w:rPr>
          <w:rFonts w:hint="cs"/>
          <w:rtl/>
        </w:rPr>
      </w:pPr>
      <w:r>
        <w:rPr>
          <w:rFonts w:hint="cs"/>
          <w:rtl/>
        </w:rPr>
        <w:t>9.  "טעה ולא הזכיר</w:t>
      </w:r>
      <w:r w:rsidR="007B5892">
        <w:rPr>
          <w:rFonts w:hint="cs"/>
          <w:rtl/>
        </w:rPr>
        <w:t xml:space="preserve"> שאלה</w:t>
      </w:r>
      <w:r>
        <w:rPr>
          <w:rFonts w:hint="cs"/>
          <w:rtl/>
        </w:rPr>
        <w:t>... אין מחזירין אותו מפני שיכול לאומרה בשומע תפילה."  א)  האם כלל זה נאמר רק אם לא הזכיר בקשה (כגון ותן טל ומטר) או אפי' אם לא הזכיר שבח?  ב)  מה הדין אם שכח ברכת תקע בשופר?</w:t>
      </w:r>
    </w:p>
    <w:p w14:paraId="447864E8" w14:textId="249B2FFD" w:rsidR="00000000" w:rsidRDefault="00000000">
      <w:pPr>
        <w:pStyle w:val="BodyText"/>
        <w:rPr>
          <w:rFonts w:hint="cs"/>
          <w:rtl/>
        </w:rPr>
      </w:pPr>
      <w:r>
        <w:rPr>
          <w:rFonts w:hint="cs"/>
          <w:rtl/>
        </w:rPr>
        <w:t xml:space="preserve">[תוס' (כט. ד"ה מפני), רבינו יונה (יט: בדפי הרי"ף ד"ה אבל) בשם רבני צרפת, רמב"ם הל' תפילה (פ"י </w:t>
      </w:r>
      <w:r w:rsidR="00B7518B">
        <w:rPr>
          <w:rFonts w:hint="cs"/>
          <w:rtl/>
        </w:rPr>
        <w:t xml:space="preserve">ה"ח-ט, </w:t>
      </w:r>
      <w:r>
        <w:rPr>
          <w:rFonts w:hint="cs"/>
          <w:rtl/>
        </w:rPr>
        <w:t>הי"ד) וכס</w:t>
      </w:r>
      <w:r w:rsidR="0077143E">
        <w:rPr>
          <w:rFonts w:hint="cs"/>
          <w:rtl/>
        </w:rPr>
        <w:t>ף משנה</w:t>
      </w:r>
      <w:r>
        <w:rPr>
          <w:rFonts w:hint="cs"/>
          <w:rtl/>
        </w:rPr>
        <w:t xml:space="preserve"> שם, ב"י (סי' רצד), פר"ח (סי' קיט ס"ק ג) ופמ"ג שם]</w:t>
      </w:r>
    </w:p>
    <w:p w14:paraId="59C3FEB5" w14:textId="77777777" w:rsidR="00000000" w:rsidRDefault="00000000">
      <w:pPr>
        <w:pStyle w:val="BodyText"/>
        <w:rPr>
          <w:rFonts w:hint="cs"/>
          <w:rtl/>
        </w:rPr>
      </w:pPr>
    </w:p>
    <w:p w14:paraId="4F0F4B35" w14:textId="0E9D14D0" w:rsidR="00000000" w:rsidRDefault="00000000">
      <w:pPr>
        <w:pStyle w:val="BodyText"/>
        <w:rPr>
          <w:rFonts w:hint="cs"/>
          <w:rtl/>
        </w:rPr>
      </w:pPr>
      <w:r>
        <w:rPr>
          <w:rFonts w:hint="cs"/>
          <w:rtl/>
        </w:rPr>
        <w:t>10.  מה הדין אם טעה ולא הזכיר ותן טל ומטר ונזכר באמצע מודים?  באר</w:t>
      </w:r>
      <w:r w:rsidR="00161736">
        <w:rPr>
          <w:rFonts w:hint="cs"/>
          <w:rtl/>
        </w:rPr>
        <w:t xml:space="preserve"> בב' דרכים</w:t>
      </w:r>
      <w:r>
        <w:rPr>
          <w:rFonts w:hint="cs"/>
          <w:rtl/>
        </w:rPr>
        <w:t>.</w:t>
      </w:r>
    </w:p>
    <w:p w14:paraId="18C507D9" w14:textId="77777777" w:rsidR="00000000" w:rsidRDefault="00000000">
      <w:pPr>
        <w:pStyle w:val="BodyText"/>
        <w:rPr>
          <w:rFonts w:hint="cs"/>
          <w:rtl/>
        </w:rPr>
      </w:pPr>
      <w:r>
        <w:rPr>
          <w:rFonts w:hint="cs"/>
          <w:rtl/>
        </w:rPr>
        <w:t>[תוס' (כט: ד"ה הא), רמב"ם הל' תפילה (פ"י ה"ט), ריטב"א תענית (ג: ד"ה גרסינן), חי' הגר"ח על הש"ס (אות א'), ר"ן תענית (א: בדפי הרי"ף)]</w:t>
      </w:r>
    </w:p>
    <w:p w14:paraId="59CAD045" w14:textId="77777777" w:rsidR="00000000" w:rsidRDefault="00000000">
      <w:pPr>
        <w:pStyle w:val="BodyText"/>
        <w:rPr>
          <w:rFonts w:hint="cs"/>
          <w:rtl/>
        </w:rPr>
      </w:pPr>
    </w:p>
    <w:p w14:paraId="54A4C8FF" w14:textId="77777777" w:rsidR="00000000" w:rsidRDefault="00000000">
      <w:pPr>
        <w:pStyle w:val="BodyText"/>
        <w:rPr>
          <w:rFonts w:hint="cs"/>
          <w:rtl/>
        </w:rPr>
      </w:pPr>
      <w:r>
        <w:rPr>
          <w:rFonts w:hint="cs"/>
          <w:rtl/>
        </w:rPr>
        <w:t>11.  מה הדין אם יחיד טעה ואמר ותן טל ומטר לפני ז' מרחשון בארץ הצריכה לגשמים באותה שעה?  באר.</w:t>
      </w:r>
    </w:p>
    <w:p w14:paraId="50BFC7FC" w14:textId="77777777" w:rsidR="00000000" w:rsidRDefault="00000000">
      <w:pPr>
        <w:pStyle w:val="BodyText"/>
        <w:rPr>
          <w:rFonts w:hint="cs"/>
          <w:rtl/>
        </w:rPr>
      </w:pPr>
      <w:r>
        <w:rPr>
          <w:rFonts w:hint="cs"/>
          <w:rtl/>
        </w:rPr>
        <w:t>[רבינו יונה (כ. סוף ד"ה מיהו), שו"ת הרא"ש (כלל ד' סי' י), ב"י (סי' קיז ס"ב) בשם מהר"י אבוהב, וד"מ שם (אות ב')]</w:t>
      </w:r>
    </w:p>
    <w:p w14:paraId="6867F738" w14:textId="77777777" w:rsidR="00000000" w:rsidRDefault="00000000">
      <w:pPr>
        <w:pStyle w:val="BodyText"/>
        <w:rPr>
          <w:rFonts w:hint="cs"/>
          <w:rtl/>
        </w:rPr>
      </w:pPr>
    </w:p>
    <w:p w14:paraId="77841607" w14:textId="17450B7A" w:rsidR="00000000" w:rsidRDefault="00000000">
      <w:pPr>
        <w:pStyle w:val="BodyText"/>
        <w:rPr>
          <w:rFonts w:hint="cs"/>
          <w:rtl/>
        </w:rPr>
      </w:pPr>
      <w:r>
        <w:rPr>
          <w:rFonts w:hint="cs"/>
          <w:rtl/>
        </w:rPr>
        <w:lastRenderedPageBreak/>
        <w:t>12.  מה הדין</w:t>
      </w:r>
      <w:r w:rsidR="00DE527E">
        <w:rPr>
          <w:rFonts w:hint="cs"/>
          <w:rtl/>
        </w:rPr>
        <w:t>:</w:t>
      </w:r>
      <w:r>
        <w:rPr>
          <w:rFonts w:hint="cs"/>
          <w:rtl/>
        </w:rPr>
        <w:t xml:space="preserve">  א)  אם שכח להזכיר משיב הרוח ומוריד הגשם עד לאחר שסיים מחיה המתים;  ב)  אם שכח להזכיר אתה חוננתנו עד לאחר שסיים חונן הדעת?</w:t>
      </w:r>
      <w:r w:rsidR="00DE527E">
        <w:rPr>
          <w:rFonts w:hint="cs"/>
          <w:rtl/>
        </w:rPr>
        <w:t xml:space="preserve">  תן שיטות רבינו יונה, והרא"ש בזה.</w:t>
      </w:r>
      <w:r>
        <w:rPr>
          <w:rFonts w:hint="cs"/>
          <w:rtl/>
        </w:rPr>
        <w:t xml:space="preserve">  כיצד ביאר הב"י את שיטת</w:t>
      </w:r>
      <w:r w:rsidR="00DE527E">
        <w:rPr>
          <w:rFonts w:hint="cs"/>
          <w:rtl/>
        </w:rPr>
        <w:t xml:space="preserve"> הרא"ש</w:t>
      </w:r>
      <w:r>
        <w:rPr>
          <w:rFonts w:hint="cs"/>
          <w:rtl/>
        </w:rPr>
        <w:t>?</w:t>
      </w:r>
    </w:p>
    <w:p w14:paraId="214DFFF5" w14:textId="77777777" w:rsidR="00000000" w:rsidRDefault="00000000">
      <w:pPr>
        <w:pStyle w:val="BodyText"/>
        <w:rPr>
          <w:rFonts w:hint="cs"/>
          <w:rtl/>
        </w:rPr>
      </w:pPr>
      <w:r>
        <w:rPr>
          <w:rFonts w:hint="cs"/>
          <w:rtl/>
        </w:rPr>
        <w:t>[רא"ש תענית (פ"א סי' א), רא"ש ברכות (פ"ד סי' יז), ב"י (סי' קיד)]</w:t>
      </w:r>
    </w:p>
    <w:p w14:paraId="486125C2" w14:textId="77777777" w:rsidR="00000000" w:rsidRDefault="00000000">
      <w:pPr>
        <w:pStyle w:val="BodyText"/>
        <w:rPr>
          <w:rFonts w:hint="cs"/>
          <w:rtl/>
        </w:rPr>
      </w:pPr>
    </w:p>
    <w:p w14:paraId="51F24F74" w14:textId="2595B8E6" w:rsidR="00000000" w:rsidRDefault="00000000">
      <w:pPr>
        <w:pStyle w:val="BodyText"/>
        <w:rPr>
          <w:rFonts w:hint="cs"/>
          <w:rtl/>
        </w:rPr>
      </w:pPr>
      <w:r>
        <w:rPr>
          <w:rFonts w:hint="cs"/>
          <w:rtl/>
        </w:rPr>
        <w:t>13.  מה הדין אם שכח להתפלל במוצאי שבת, האם מבדיל בתפילה בשחרית ביום א'?</w:t>
      </w:r>
      <w:r w:rsidR="00DE527E">
        <w:rPr>
          <w:rFonts w:hint="cs"/>
          <w:rtl/>
        </w:rPr>
        <w:t xml:space="preserve">  תן ג' שיטות</w:t>
      </w:r>
      <w:r w:rsidR="00B62CCA">
        <w:rPr>
          <w:rFonts w:hint="cs"/>
          <w:rtl/>
        </w:rPr>
        <w:t xml:space="preserve"> בזה</w:t>
      </w:r>
      <w:r w:rsidR="00DE527E">
        <w:rPr>
          <w:rFonts w:hint="cs"/>
          <w:rtl/>
        </w:rPr>
        <w:t>, ובאר דבריהם</w:t>
      </w:r>
      <w:r>
        <w:rPr>
          <w:rFonts w:hint="cs"/>
          <w:rtl/>
        </w:rPr>
        <w:t xml:space="preserve">.  מה הדין אם לא התפלל </w:t>
      </w:r>
      <w:r>
        <w:rPr>
          <w:rFonts w:hint="cs"/>
          <w:u w:val="single"/>
          <w:rtl/>
        </w:rPr>
        <w:t>במזיד</w:t>
      </w:r>
      <w:r>
        <w:rPr>
          <w:rFonts w:hint="cs"/>
          <w:rtl/>
        </w:rPr>
        <w:t xml:space="preserve"> במוצאי שבת?</w:t>
      </w:r>
    </w:p>
    <w:p w14:paraId="57DEF606" w14:textId="77777777" w:rsidR="00000000" w:rsidRDefault="00000000">
      <w:pPr>
        <w:pStyle w:val="BodyText"/>
        <w:rPr>
          <w:rFonts w:hint="cs"/>
          <w:rtl/>
        </w:rPr>
      </w:pPr>
      <w:r>
        <w:rPr>
          <w:rFonts w:hint="cs"/>
          <w:rtl/>
        </w:rPr>
        <w:t>[מג"א (סי' רצד ס"ק א), חי' רעק"א שם, בה"ל שם]</w:t>
      </w:r>
    </w:p>
    <w:p w14:paraId="1F9118B3" w14:textId="77777777" w:rsidR="00000000" w:rsidRDefault="00000000">
      <w:pPr>
        <w:pStyle w:val="BodyText"/>
        <w:rPr>
          <w:rFonts w:hint="cs"/>
          <w:rtl/>
        </w:rPr>
      </w:pPr>
    </w:p>
    <w:p w14:paraId="1C6D60AC" w14:textId="77777777" w:rsidR="00000000" w:rsidRDefault="00000000">
      <w:pPr>
        <w:pStyle w:val="BodyText"/>
        <w:rPr>
          <w:rFonts w:hint="cs"/>
          <w:rtl/>
        </w:rPr>
      </w:pPr>
      <w:r>
        <w:rPr>
          <w:rFonts w:hint="cs"/>
          <w:rtl/>
        </w:rPr>
        <w:t>14.  כתב הרא"ש בשם רבינו יונה שאם טעה ולא הבדיל בחונן הדעת ואין לו כוס להבדיל עליו במוצאי שבת אך יהיה לו כוס למחר, אין לו לחזור ולהתפלל.  ומשמע שאם חושב שלא יהיה לו כוס עד יום ב' או ג' יחזור ויתפלל.  וקשה דהא אמרינן בפסחים דמי שלא הבדיל במוצ"ש מבדיל והולך עד ד' בשבת?  (3)</w:t>
      </w:r>
    </w:p>
    <w:p w14:paraId="2B227190" w14:textId="77777777" w:rsidR="00000000" w:rsidRDefault="00000000">
      <w:pPr>
        <w:pStyle w:val="BodyText"/>
        <w:rPr>
          <w:rFonts w:hint="cs"/>
          <w:rtl/>
        </w:rPr>
      </w:pPr>
      <w:r>
        <w:rPr>
          <w:rFonts w:hint="cs"/>
          <w:rtl/>
        </w:rPr>
        <w:t>[רא"ש (פ"ד סי' טו), דברי חמודות שם (אות מ"ט)]</w:t>
      </w:r>
    </w:p>
    <w:p w14:paraId="636B7B4D" w14:textId="77777777" w:rsidR="00000000" w:rsidRDefault="00000000">
      <w:pPr>
        <w:pStyle w:val="BodyText"/>
        <w:rPr>
          <w:rFonts w:hint="cs"/>
          <w:rtl/>
        </w:rPr>
      </w:pPr>
    </w:p>
    <w:p w14:paraId="2D661895" w14:textId="77777777" w:rsidR="00000000" w:rsidRDefault="00000000">
      <w:pPr>
        <w:pStyle w:val="BodyText"/>
        <w:rPr>
          <w:rFonts w:hint="cs"/>
          <w:rtl/>
        </w:rPr>
      </w:pPr>
      <w:r>
        <w:rPr>
          <w:rFonts w:hint="cs"/>
          <w:rtl/>
        </w:rPr>
        <w:t xml:space="preserve">15.  מהו עיקר הזמן לחיוב הבדלה </w:t>
      </w:r>
      <w:r>
        <w:rPr>
          <w:rtl/>
        </w:rPr>
        <w:t>–</w:t>
      </w:r>
      <w:r>
        <w:rPr>
          <w:rFonts w:hint="cs"/>
          <w:rtl/>
        </w:rPr>
        <w:t xml:space="preserve"> לדעת הרא"ש, ולדעת מהר"ם מרוטנבורג?  באר.</w:t>
      </w:r>
    </w:p>
    <w:p w14:paraId="40C9DD47" w14:textId="77777777" w:rsidR="00000000" w:rsidRDefault="00000000">
      <w:pPr>
        <w:pStyle w:val="BodyText"/>
        <w:rPr>
          <w:rFonts w:hint="cs"/>
          <w:rtl/>
        </w:rPr>
      </w:pPr>
      <w:r>
        <w:rPr>
          <w:rFonts w:hint="cs"/>
          <w:rtl/>
        </w:rPr>
        <w:t>[רא"ש (פ"ג סי' ב, פ"ד סי' טו), מנחת חינוך (מצוה ל"א), חי' רעק"א (סי' רצט ס"ו)]</w:t>
      </w:r>
    </w:p>
    <w:p w14:paraId="1B3ABBC5" w14:textId="77777777" w:rsidR="00000000" w:rsidRDefault="00000000">
      <w:pPr>
        <w:pStyle w:val="BodyText"/>
        <w:rPr>
          <w:rFonts w:hint="cs"/>
          <w:rtl/>
        </w:rPr>
      </w:pPr>
    </w:p>
    <w:p w14:paraId="37423947" w14:textId="045056EC" w:rsidR="00000000" w:rsidRDefault="00000000">
      <w:pPr>
        <w:pStyle w:val="BodyText"/>
        <w:rPr>
          <w:rFonts w:hint="cs"/>
          <w:rtl/>
        </w:rPr>
      </w:pPr>
      <w:r>
        <w:rPr>
          <w:rFonts w:hint="cs"/>
          <w:rtl/>
        </w:rPr>
        <w:t xml:space="preserve">16.  מה הדין אם שכח ולא הזכיר משיב הרוח ומוריד הגשם </w:t>
      </w:r>
      <w:r>
        <w:rPr>
          <w:rtl/>
        </w:rPr>
        <w:t>–</w:t>
      </w:r>
      <w:r>
        <w:rPr>
          <w:rFonts w:hint="cs"/>
          <w:rtl/>
        </w:rPr>
        <w:t xml:space="preserve"> האם יכול לצאת בחזרת הש"ץ?  ולמה?</w:t>
      </w:r>
      <w:r w:rsidR="00C322A6">
        <w:rPr>
          <w:rFonts w:hint="cs"/>
          <w:rtl/>
        </w:rPr>
        <w:t xml:space="preserve">  באר השקלא וטריא בגמ' (כט.) </w:t>
      </w:r>
      <w:r w:rsidR="00C322A6">
        <w:rPr>
          <w:rtl/>
        </w:rPr>
        <w:t>–</w:t>
      </w:r>
      <w:r w:rsidR="00C322A6">
        <w:rPr>
          <w:rFonts w:hint="cs"/>
          <w:rtl/>
        </w:rPr>
        <w:t xml:space="preserve"> לפי הרא"ש</w:t>
      </w:r>
      <w:r w:rsidR="005B75BA">
        <w:rPr>
          <w:rFonts w:hint="cs"/>
          <w:rtl/>
        </w:rPr>
        <w:t>\ואו"ז</w:t>
      </w:r>
      <w:r w:rsidR="00C322A6">
        <w:rPr>
          <w:rFonts w:hint="cs"/>
          <w:rtl/>
        </w:rPr>
        <w:t>, ולפי רבינו יונה</w:t>
      </w:r>
      <w:r w:rsidR="005B75BA">
        <w:rPr>
          <w:rFonts w:hint="cs"/>
          <w:rtl/>
        </w:rPr>
        <w:t>.</w:t>
      </w:r>
    </w:p>
    <w:p w14:paraId="029C21ED" w14:textId="77777777" w:rsidR="00000000" w:rsidRDefault="00000000">
      <w:pPr>
        <w:pStyle w:val="BodyText"/>
        <w:rPr>
          <w:rFonts w:hint="cs"/>
          <w:rtl/>
        </w:rPr>
      </w:pPr>
      <w:r>
        <w:rPr>
          <w:rFonts w:hint="cs"/>
          <w:rtl/>
        </w:rPr>
        <w:t>[תוס' (כט: ד"ה טעה) בשם ר"מ, רבינו יונה (כ. בדפי הרי"ף ד"ה טעה), או"ז (סי' תס)]</w:t>
      </w:r>
    </w:p>
    <w:p w14:paraId="3ACE3F5D" w14:textId="77777777" w:rsidR="00000000" w:rsidRDefault="00000000">
      <w:pPr>
        <w:pStyle w:val="BodyText"/>
        <w:rPr>
          <w:rtl/>
        </w:rPr>
      </w:pPr>
    </w:p>
    <w:p w14:paraId="5D898610" w14:textId="77A711F3" w:rsidR="005B2C76" w:rsidRDefault="00617EA7">
      <w:pPr>
        <w:pStyle w:val="BodyText"/>
        <w:rPr>
          <w:rtl/>
        </w:rPr>
      </w:pPr>
      <w:r>
        <w:rPr>
          <w:rFonts w:hint="cs"/>
          <w:rtl/>
        </w:rPr>
        <w:t xml:space="preserve">17.  </w:t>
      </w:r>
      <w:r w:rsidR="005B2C76">
        <w:rPr>
          <w:rFonts w:hint="cs"/>
          <w:rtl/>
        </w:rPr>
        <w:t>מה הדין אם סיים שמונה עשרה ונזכר ששכח יעלה ויבוא</w:t>
      </w:r>
      <w:r w:rsidR="0079140D">
        <w:rPr>
          <w:rFonts w:hint="cs"/>
          <w:rtl/>
        </w:rPr>
        <w:t>?</w:t>
      </w:r>
      <w:r w:rsidR="009570CB">
        <w:rPr>
          <w:rFonts w:hint="cs"/>
          <w:rtl/>
        </w:rPr>
        <w:t xml:space="preserve">  האם יכול לענות לקדושה אם סיים שמו"ע</w:t>
      </w:r>
      <w:r w:rsidR="00070351">
        <w:rPr>
          <w:rFonts w:hint="cs"/>
          <w:rtl/>
        </w:rPr>
        <w:t xml:space="preserve"> ועדיין לא אמר יהיו לרצון?  למה?  האם ש"ץ צריך לומר </w:t>
      </w:r>
      <w:r w:rsidR="002D28A7">
        <w:rPr>
          <w:rFonts w:hint="cs"/>
          <w:rtl/>
        </w:rPr>
        <w:t>יהיו לרצון</w:t>
      </w:r>
      <w:r w:rsidR="00D215D8">
        <w:rPr>
          <w:rFonts w:hint="cs"/>
          <w:rtl/>
        </w:rPr>
        <w:t xml:space="preserve"> אחר תפילתו</w:t>
      </w:r>
      <w:r w:rsidR="002D28A7">
        <w:rPr>
          <w:rFonts w:hint="cs"/>
          <w:rtl/>
        </w:rPr>
        <w:t>?  בקול רם</w:t>
      </w:r>
      <w:r w:rsidR="00294363">
        <w:rPr>
          <w:rFonts w:hint="cs"/>
          <w:rtl/>
        </w:rPr>
        <w:t xml:space="preserve"> או בלחש</w:t>
      </w:r>
      <w:r w:rsidR="002D28A7">
        <w:rPr>
          <w:rFonts w:hint="cs"/>
          <w:rtl/>
        </w:rPr>
        <w:t>?</w:t>
      </w:r>
    </w:p>
    <w:p w14:paraId="2487364D" w14:textId="7F59F32B" w:rsidR="005B2C76" w:rsidRDefault="008B7D88">
      <w:pPr>
        <w:pStyle w:val="BodyText"/>
        <w:rPr>
          <w:rtl/>
        </w:rPr>
      </w:pPr>
      <w:r>
        <w:rPr>
          <w:rFonts w:hint="cs"/>
          <w:rtl/>
        </w:rPr>
        <w:t>[גמ' (כט:)</w:t>
      </w:r>
      <w:r w:rsidR="00BC69A3">
        <w:rPr>
          <w:rFonts w:hint="cs"/>
          <w:rtl/>
        </w:rPr>
        <w:t>,</w:t>
      </w:r>
      <w:r>
        <w:rPr>
          <w:rFonts w:hint="cs"/>
          <w:rtl/>
        </w:rPr>
        <w:t xml:space="preserve"> </w:t>
      </w:r>
      <w:r w:rsidR="00BC69A3">
        <w:rPr>
          <w:rFonts w:hint="cs"/>
          <w:rtl/>
        </w:rPr>
        <w:t xml:space="preserve">שו"ע (סי' קיז ס"ה) ובה"ל שם, </w:t>
      </w:r>
      <w:r w:rsidR="008C6B9F">
        <w:rPr>
          <w:rFonts w:hint="cs"/>
          <w:rtl/>
        </w:rPr>
        <w:t>ב"י (סי' קכב)</w:t>
      </w:r>
      <w:r w:rsidR="00026775">
        <w:rPr>
          <w:rFonts w:hint="cs"/>
          <w:rtl/>
        </w:rPr>
        <w:t xml:space="preserve"> ודרכי משה שם</w:t>
      </w:r>
      <w:r w:rsidR="00670F15">
        <w:rPr>
          <w:rFonts w:hint="cs"/>
          <w:rtl/>
        </w:rPr>
        <w:t>, רמ"א (סי' קכג ס"ו)</w:t>
      </w:r>
      <w:r w:rsidR="005504CD">
        <w:rPr>
          <w:rFonts w:hint="cs"/>
          <w:rtl/>
        </w:rPr>
        <w:t xml:space="preserve"> ומג"א שם, </w:t>
      </w:r>
      <w:r w:rsidR="004F0074">
        <w:rPr>
          <w:rFonts w:hint="cs"/>
          <w:rtl/>
        </w:rPr>
        <w:t>בעקבי הצאן (סי' ד)]</w:t>
      </w:r>
    </w:p>
    <w:p w14:paraId="5F037BA3" w14:textId="77777777" w:rsidR="008B7D88" w:rsidRDefault="008B7D88">
      <w:pPr>
        <w:pStyle w:val="BodyText"/>
        <w:rPr>
          <w:rFonts w:hint="cs"/>
          <w:rtl/>
        </w:rPr>
      </w:pPr>
    </w:p>
    <w:p w14:paraId="1561AA75" w14:textId="527EA40A" w:rsidR="00000000" w:rsidRDefault="00617EA7">
      <w:pPr>
        <w:pStyle w:val="BodyText"/>
        <w:rPr>
          <w:rFonts w:hint="cs"/>
          <w:rtl/>
        </w:rPr>
      </w:pPr>
      <w:r>
        <w:rPr>
          <w:rFonts w:hint="cs"/>
          <w:rtl/>
        </w:rPr>
        <w:t>18</w:t>
      </w:r>
      <w:r w:rsidR="00000000">
        <w:rPr>
          <w:rFonts w:hint="cs"/>
          <w:rtl/>
        </w:rPr>
        <w:t xml:space="preserve">.  "המהלך במקום גדודי חיה ולסטים מתפלל תפילה קצרה, ואיזה היא תפילה קצרה...אחרים אומרים צרכי עמך מרובים ודעתם קצרה יהי רצון וכו' שתתן לכל א' וא' כדי פרנסתו וכו'."  וצ"ע </w:t>
      </w:r>
      <w:r w:rsidR="00AE4A8D">
        <w:rPr>
          <w:rFonts w:hint="cs"/>
          <w:rtl/>
        </w:rPr>
        <w:t>ד</w:t>
      </w:r>
      <w:r w:rsidR="00000000">
        <w:rPr>
          <w:rFonts w:hint="cs"/>
          <w:rtl/>
        </w:rPr>
        <w:t>אמאי לא תיקנו שבח בתפילה קצרה?</w:t>
      </w:r>
    </w:p>
    <w:p w14:paraId="5ED5028C" w14:textId="433022E0" w:rsidR="00000000" w:rsidRDefault="00000000">
      <w:pPr>
        <w:pStyle w:val="BodyText"/>
        <w:rPr>
          <w:rFonts w:hint="cs"/>
          <w:rtl/>
        </w:rPr>
      </w:pPr>
      <w:r>
        <w:rPr>
          <w:rFonts w:hint="cs"/>
          <w:rtl/>
        </w:rPr>
        <w:t>[ריטב"א (ל. ד"ה נמצא),</w:t>
      </w:r>
      <w:r w:rsidR="006870F1">
        <w:rPr>
          <w:rFonts w:hint="cs"/>
          <w:rtl/>
        </w:rPr>
        <w:t xml:space="preserve"> גמ' עירובין (סה.), גמ' ברכות (ל:) ו</w:t>
      </w:r>
      <w:r>
        <w:rPr>
          <w:rFonts w:hint="cs"/>
          <w:rtl/>
        </w:rPr>
        <w:t xml:space="preserve">רא"ש </w:t>
      </w:r>
      <w:r w:rsidR="006870F1">
        <w:rPr>
          <w:rFonts w:hint="cs"/>
          <w:rtl/>
        </w:rPr>
        <w:t xml:space="preserve">שם </w:t>
      </w:r>
      <w:r>
        <w:rPr>
          <w:rFonts w:hint="cs"/>
          <w:rtl/>
        </w:rPr>
        <w:t>(סי' כא), רשב"א (יג: ד"ה אלא)]</w:t>
      </w:r>
    </w:p>
    <w:p w14:paraId="2CCFAFF8" w14:textId="77777777" w:rsidR="00000000" w:rsidRDefault="00000000">
      <w:pPr>
        <w:pStyle w:val="BodyText"/>
        <w:rPr>
          <w:rFonts w:hint="cs"/>
          <w:rtl/>
        </w:rPr>
      </w:pPr>
    </w:p>
    <w:p w14:paraId="369E8148" w14:textId="1BB8ABEA" w:rsidR="00000000" w:rsidRDefault="00617EA7">
      <w:pPr>
        <w:pStyle w:val="BodyText"/>
        <w:rPr>
          <w:rFonts w:hint="cs"/>
          <w:rtl/>
        </w:rPr>
      </w:pPr>
      <w:r>
        <w:rPr>
          <w:rFonts w:hint="cs"/>
          <w:rtl/>
        </w:rPr>
        <w:t>19</w:t>
      </w:r>
      <w:r w:rsidR="00000000">
        <w:rPr>
          <w:rFonts w:hint="cs"/>
          <w:rtl/>
        </w:rPr>
        <w:t xml:space="preserve">.  "עד כמה (מתפלל תפילת הדרך) </w:t>
      </w:r>
      <w:r w:rsidR="00000000">
        <w:rPr>
          <w:rtl/>
        </w:rPr>
        <w:t>–</w:t>
      </w:r>
      <w:r w:rsidR="00000000">
        <w:rPr>
          <w:rFonts w:hint="cs"/>
          <w:rtl/>
        </w:rPr>
        <w:t xml:space="preserve"> עד פרסה."  כיצד פירש רש"י ענין זה?  מה הקשה עליו רבינו יונה?  וכיצד אפשר ליישב שיטת רש"י? (2)</w:t>
      </w:r>
    </w:p>
    <w:p w14:paraId="79D265DE" w14:textId="5B1C58A4" w:rsidR="00000000" w:rsidRDefault="00000000">
      <w:pPr>
        <w:pStyle w:val="BodyText"/>
        <w:rPr>
          <w:rFonts w:hint="cs"/>
          <w:rtl/>
        </w:rPr>
      </w:pPr>
      <w:r>
        <w:rPr>
          <w:rFonts w:hint="cs"/>
          <w:rtl/>
        </w:rPr>
        <w:t xml:space="preserve">[רש"י (ל.), רבינו יונה (כ. ברי"ף ד"ה משעה), </w:t>
      </w:r>
      <w:r w:rsidR="004C24FA">
        <w:rPr>
          <w:rFonts w:hint="cs"/>
          <w:rtl/>
        </w:rPr>
        <w:t>נחלת דוד</w:t>
      </w:r>
      <w:r>
        <w:rPr>
          <w:rFonts w:hint="cs"/>
          <w:rtl/>
        </w:rPr>
        <w:t xml:space="preserve"> שם, רשב"א (ל. ד"ה אימת), מאירי (כט: ד"ה כל)]</w:t>
      </w:r>
    </w:p>
    <w:p w14:paraId="179AF721" w14:textId="77777777" w:rsidR="00000000" w:rsidRDefault="00000000">
      <w:pPr>
        <w:pStyle w:val="BodyText"/>
        <w:rPr>
          <w:rFonts w:hint="cs"/>
          <w:rtl/>
        </w:rPr>
      </w:pPr>
    </w:p>
    <w:p w14:paraId="2F075BAC" w14:textId="7E485F07" w:rsidR="00000000" w:rsidRDefault="00617EA7">
      <w:pPr>
        <w:pStyle w:val="BodyText"/>
        <w:rPr>
          <w:rFonts w:hint="cs"/>
          <w:rtl/>
        </w:rPr>
      </w:pPr>
      <w:r>
        <w:rPr>
          <w:rFonts w:hint="cs"/>
          <w:rtl/>
        </w:rPr>
        <w:t>20</w:t>
      </w:r>
      <w:r w:rsidR="00000000">
        <w:rPr>
          <w:rFonts w:hint="cs"/>
          <w:rtl/>
        </w:rPr>
        <w:t>.  כיצד פי</w:t>
      </w:r>
      <w:r w:rsidR="004C24FA">
        <w:rPr>
          <w:rFonts w:hint="cs"/>
          <w:rtl/>
        </w:rPr>
        <w:t>רש</w:t>
      </w:r>
      <w:r w:rsidR="00000000">
        <w:rPr>
          <w:rFonts w:hint="cs"/>
          <w:rtl/>
        </w:rPr>
        <w:t xml:space="preserve"> הבה"ג "עד פרסה"?  תן ב' דרכים לבאר שיטתו, וב' נפק"מ ביניהם.</w:t>
      </w:r>
    </w:p>
    <w:p w14:paraId="48548F2E" w14:textId="77777777" w:rsidR="00000000" w:rsidRDefault="00000000">
      <w:pPr>
        <w:pStyle w:val="BodyText"/>
        <w:rPr>
          <w:rFonts w:hint="cs"/>
          <w:rtl/>
        </w:rPr>
      </w:pPr>
      <w:r>
        <w:rPr>
          <w:rFonts w:hint="cs"/>
          <w:rtl/>
        </w:rPr>
        <w:t>[רש"י (ל.) בשם בה"ג, רא"ש (סי' יח), ב"י (סי' ריט) בשם אבודרהם, ט"ז (סי' קי ס"ק ו), בה"ל (סי' קי ד"ה ואין), משנ"ב שם (ס"ק ל)]</w:t>
      </w:r>
    </w:p>
    <w:p w14:paraId="6F05AC4D" w14:textId="77777777" w:rsidR="00000000" w:rsidRDefault="00000000">
      <w:pPr>
        <w:pStyle w:val="BodyText"/>
        <w:rPr>
          <w:rFonts w:hint="cs"/>
          <w:rtl/>
        </w:rPr>
      </w:pPr>
    </w:p>
    <w:p w14:paraId="47B008F2" w14:textId="6657406D" w:rsidR="00000000" w:rsidRDefault="00617EA7">
      <w:pPr>
        <w:pStyle w:val="BodyText"/>
        <w:rPr>
          <w:rFonts w:hint="cs"/>
          <w:rtl/>
        </w:rPr>
      </w:pPr>
      <w:r>
        <w:rPr>
          <w:rFonts w:hint="cs"/>
          <w:rtl/>
        </w:rPr>
        <w:t>21</w:t>
      </w:r>
      <w:r w:rsidR="00000000">
        <w:rPr>
          <w:rFonts w:hint="cs"/>
          <w:rtl/>
        </w:rPr>
        <w:t>.  "היה רוכב על החמור והגיע זמן תפילה...רבי אומר ישב במקומו ויתפלל לפי שאין דעתו מיושבת עליו."  במה נחלקו רש"י ורבינו יונה בביאור שיטת רבי?  ותן נפק"מ ביניהם.  איזה ראיה הביא רבינו יונה לשיטתו, וכיצד אפשר לדחות ראיה זו?</w:t>
      </w:r>
    </w:p>
    <w:p w14:paraId="4754193C" w14:textId="77777777" w:rsidR="00000000" w:rsidRDefault="00000000">
      <w:pPr>
        <w:pStyle w:val="BodyText"/>
        <w:rPr>
          <w:rFonts w:hint="cs"/>
          <w:rtl/>
        </w:rPr>
      </w:pPr>
      <w:r>
        <w:rPr>
          <w:rFonts w:hint="cs"/>
          <w:rtl/>
        </w:rPr>
        <w:t>[רש"י (ל.), רבינו יונה (כ: בדפי הרי"ף ד"ה גמ' בין), תוס' (ל. ד"ה הלכה, מסמך), מאירי (ד"ה זהו)]</w:t>
      </w:r>
    </w:p>
    <w:p w14:paraId="0058ED2A" w14:textId="77777777" w:rsidR="00000000" w:rsidRDefault="00000000">
      <w:pPr>
        <w:pStyle w:val="BodyText"/>
        <w:rPr>
          <w:rFonts w:hint="cs"/>
          <w:rtl/>
        </w:rPr>
      </w:pPr>
    </w:p>
    <w:p w14:paraId="6E8F19FB" w14:textId="158E75E5" w:rsidR="00000000" w:rsidRDefault="00617EA7">
      <w:pPr>
        <w:pStyle w:val="BodyText"/>
        <w:rPr>
          <w:rFonts w:hint="cs"/>
          <w:rtl/>
        </w:rPr>
      </w:pPr>
      <w:r>
        <w:rPr>
          <w:rFonts w:hint="cs"/>
          <w:rtl/>
        </w:rPr>
        <w:t>22</w:t>
      </w:r>
      <w:r w:rsidR="00000000">
        <w:rPr>
          <w:rFonts w:hint="cs"/>
          <w:rtl/>
        </w:rPr>
        <w:t>.  "בשבתא דרגלא...רב אשי מצלי בהדי ציבורא ביחיד מיושב, כי הוה אתי לביתיה הדר ומצלי מעומד."  כיצד ביארו הראשונים דבר זה?</w:t>
      </w:r>
      <w:r w:rsidR="00971275">
        <w:rPr>
          <w:rFonts w:hint="cs"/>
          <w:rtl/>
        </w:rPr>
        <w:t xml:space="preserve">  תן ג' שיטות, וב' </w:t>
      </w:r>
      <w:r w:rsidR="00000000">
        <w:rPr>
          <w:rFonts w:hint="cs"/>
          <w:rtl/>
        </w:rPr>
        <w:t>נפק"מ לדינא ביניהם.</w:t>
      </w:r>
    </w:p>
    <w:p w14:paraId="02E49518" w14:textId="6B3E7874" w:rsidR="00000000" w:rsidRDefault="00000000">
      <w:pPr>
        <w:pStyle w:val="BodyText"/>
        <w:rPr>
          <w:rFonts w:hint="cs"/>
          <w:rtl/>
        </w:rPr>
      </w:pPr>
      <w:r>
        <w:rPr>
          <w:rFonts w:hint="cs"/>
          <w:rtl/>
        </w:rPr>
        <w:t>[תוס' (ל. ד"ה מסמך) בשם הר"ם, רא"ש (סי' כ), רא"ה שם (ד"ה ולכי), מאירי שם (סוף ד"ה מי),</w:t>
      </w:r>
      <w:r w:rsidR="00D911D0">
        <w:rPr>
          <w:rFonts w:hint="cs"/>
          <w:rtl/>
        </w:rPr>
        <w:t xml:space="preserve"> רש"י </w:t>
      </w:r>
      <w:r w:rsidR="00160437">
        <w:rPr>
          <w:rFonts w:hint="cs"/>
          <w:rtl/>
        </w:rPr>
        <w:t>(ל. ד"ה לא),</w:t>
      </w:r>
      <w:r>
        <w:rPr>
          <w:rFonts w:hint="cs"/>
          <w:rtl/>
        </w:rPr>
        <w:t xml:space="preserve"> פמ"ג (סי' צד מ"ז ס"ק ה)</w:t>
      </w:r>
      <w:r w:rsidR="00F62833">
        <w:rPr>
          <w:rFonts w:hint="cs"/>
          <w:rtl/>
        </w:rPr>
        <w:t>, מג"א שם (ס"ק יא) וחי' רעק"א שם</w:t>
      </w:r>
      <w:r>
        <w:rPr>
          <w:rFonts w:hint="cs"/>
          <w:rtl/>
        </w:rPr>
        <w:t>]</w:t>
      </w:r>
    </w:p>
    <w:p w14:paraId="16387298" w14:textId="77777777" w:rsidR="00000000" w:rsidRDefault="00000000">
      <w:pPr>
        <w:pStyle w:val="BodyText"/>
        <w:rPr>
          <w:rFonts w:hint="cs"/>
          <w:rtl/>
        </w:rPr>
      </w:pPr>
    </w:p>
    <w:p w14:paraId="0E90DF88" w14:textId="1ADC7911" w:rsidR="00000000" w:rsidRDefault="00437D0F">
      <w:pPr>
        <w:pStyle w:val="BodyText"/>
        <w:rPr>
          <w:rFonts w:hint="cs"/>
          <w:rtl/>
        </w:rPr>
      </w:pPr>
      <w:r>
        <w:rPr>
          <w:rFonts w:hint="cs"/>
          <w:rtl/>
        </w:rPr>
        <w:lastRenderedPageBreak/>
        <w:t>23</w:t>
      </w:r>
      <w:r w:rsidR="00000000">
        <w:rPr>
          <w:rFonts w:hint="cs"/>
          <w:rtl/>
        </w:rPr>
        <w:t xml:space="preserve">.  תן ב' ראיות שכשאדם מתפלל חשיב כעומד במקדש.  איזה הלכה אפשר לבאר לפי יסוד זה </w:t>
      </w:r>
      <w:r w:rsidR="00000000">
        <w:rPr>
          <w:rtl/>
        </w:rPr>
        <w:t>–</w:t>
      </w:r>
      <w:r w:rsidR="00000000">
        <w:rPr>
          <w:rFonts w:hint="cs"/>
          <w:rtl/>
        </w:rPr>
        <w:t xml:space="preserve"> לדעת הרמב"ם</w:t>
      </w:r>
      <w:r w:rsidR="002001D6">
        <w:rPr>
          <w:rFonts w:hint="cs"/>
          <w:rtl/>
        </w:rPr>
        <w:t>?  במה נחלקו רבינו יונה והרמב"ם ב</w:t>
      </w:r>
      <w:r w:rsidR="0065656A">
        <w:rPr>
          <w:rFonts w:hint="cs"/>
          <w:rtl/>
        </w:rPr>
        <w:t>גירסת הגמ' (ל.) ובביאור דברי הברייתא</w:t>
      </w:r>
      <w:r w:rsidR="002D1A13">
        <w:rPr>
          <w:rFonts w:hint="cs"/>
          <w:rtl/>
        </w:rPr>
        <w:t xml:space="preserve"> שם</w:t>
      </w:r>
      <w:r w:rsidR="0065656A">
        <w:rPr>
          <w:rFonts w:hint="cs"/>
          <w:rtl/>
        </w:rPr>
        <w:t>?</w:t>
      </w:r>
    </w:p>
    <w:p w14:paraId="66DC1243" w14:textId="35AF1549" w:rsidR="00000000" w:rsidRDefault="00000000">
      <w:pPr>
        <w:pStyle w:val="BodyText"/>
        <w:rPr>
          <w:rtl/>
        </w:rPr>
      </w:pPr>
      <w:r>
        <w:rPr>
          <w:rFonts w:hint="cs"/>
          <w:rtl/>
        </w:rPr>
        <w:t>[גמ' ר"ה (כו., כו:) וריטב"א שם, רמב"ם הל' נשיאת כפים (פי"ד ה"ג, פט"ו ה"ג), רמב"ם ספר המצוות (מ"ע ה)</w:t>
      </w:r>
      <w:r w:rsidR="0065656A">
        <w:rPr>
          <w:rFonts w:hint="cs"/>
          <w:rtl/>
        </w:rPr>
        <w:t xml:space="preserve">, </w:t>
      </w:r>
      <w:r w:rsidR="00E030FF">
        <w:rPr>
          <w:rFonts w:hint="cs"/>
          <w:rtl/>
        </w:rPr>
        <w:t>רמב"ם הל' תפילה (</w:t>
      </w:r>
      <w:r w:rsidR="0048158C">
        <w:rPr>
          <w:rFonts w:hint="cs"/>
          <w:rtl/>
        </w:rPr>
        <w:t xml:space="preserve">פ"א ה"ג, </w:t>
      </w:r>
      <w:r w:rsidR="00E030FF">
        <w:rPr>
          <w:rFonts w:hint="cs"/>
          <w:rtl/>
        </w:rPr>
        <w:t xml:space="preserve">פ"ה </w:t>
      </w:r>
      <w:r w:rsidR="003E6029">
        <w:rPr>
          <w:rFonts w:hint="cs"/>
          <w:rtl/>
        </w:rPr>
        <w:t>ה"א</w:t>
      </w:r>
      <w:r w:rsidR="00B300BC">
        <w:rPr>
          <w:rFonts w:hint="cs"/>
          <w:rtl/>
        </w:rPr>
        <w:t xml:space="preserve"> ו</w:t>
      </w:r>
      <w:r w:rsidR="0048158C">
        <w:rPr>
          <w:rFonts w:hint="cs"/>
          <w:rtl/>
        </w:rPr>
        <w:t>ה"ג)</w:t>
      </w:r>
      <w:r w:rsidR="00B300BC">
        <w:rPr>
          <w:rFonts w:hint="cs"/>
          <w:rtl/>
        </w:rPr>
        <w:t xml:space="preserve">, רבינו יונה </w:t>
      </w:r>
      <w:r w:rsidR="005C39E5">
        <w:rPr>
          <w:rFonts w:hint="cs"/>
          <w:rtl/>
        </w:rPr>
        <w:t>(כ: ברי"ף ד"ה היה)</w:t>
      </w:r>
      <w:r>
        <w:rPr>
          <w:rFonts w:hint="cs"/>
          <w:rtl/>
        </w:rPr>
        <w:t>]</w:t>
      </w:r>
    </w:p>
    <w:p w14:paraId="369F99AA" w14:textId="77777777" w:rsidR="005C39E5" w:rsidRDefault="005C39E5">
      <w:pPr>
        <w:pStyle w:val="BodyText"/>
        <w:rPr>
          <w:rFonts w:hint="cs"/>
          <w:rtl/>
        </w:rPr>
      </w:pPr>
    </w:p>
    <w:p w14:paraId="204E8641" w14:textId="549F3962" w:rsidR="00000000" w:rsidRDefault="00000000">
      <w:pPr>
        <w:pStyle w:val="BodyText"/>
        <w:rPr>
          <w:rFonts w:hint="cs"/>
          <w:rtl/>
        </w:rPr>
      </w:pPr>
      <w:r>
        <w:rPr>
          <w:rFonts w:hint="cs"/>
          <w:rtl/>
        </w:rPr>
        <w:t>24.  כתב הרמב"ם שכוונת הלב מעכבת בכל התפילה.  וקשה הרי בגמ' (לד:) מבואר שאין כוונה מעכבת אלא באבות?  מה תירץ על זה הגר"ח ז"ל?</w:t>
      </w:r>
      <w:r w:rsidR="002D1A13">
        <w:rPr>
          <w:rFonts w:hint="cs"/>
          <w:rtl/>
        </w:rPr>
        <w:t xml:space="preserve">  מה הקשו התוס' (לד:) על הגמ' שם?  ומה תירצו?  כיצד אפשר ליישב הקושיא באופן אחר לדעת הרמב"ם?</w:t>
      </w:r>
    </w:p>
    <w:p w14:paraId="7F812A06" w14:textId="231ABBF0" w:rsidR="00000000" w:rsidRDefault="00000000">
      <w:pPr>
        <w:pStyle w:val="BodyText"/>
        <w:rPr>
          <w:rFonts w:hint="cs"/>
          <w:rtl/>
        </w:rPr>
      </w:pPr>
      <w:r>
        <w:rPr>
          <w:rFonts w:hint="cs"/>
          <w:rtl/>
        </w:rPr>
        <w:t>[</w:t>
      </w:r>
      <w:r w:rsidR="002D1A13">
        <w:rPr>
          <w:rFonts w:hint="cs"/>
          <w:rtl/>
        </w:rPr>
        <w:t xml:space="preserve">גמ' (לד:) ותוס' שם (ד"ה </w:t>
      </w:r>
      <w:r w:rsidR="003A25C7">
        <w:rPr>
          <w:rFonts w:hint="cs"/>
          <w:rtl/>
        </w:rPr>
        <w:t xml:space="preserve">יכוין), </w:t>
      </w:r>
      <w:r>
        <w:rPr>
          <w:rFonts w:hint="cs"/>
          <w:rtl/>
        </w:rPr>
        <w:t>רמב"ם הל' תפילה (פ"ד ה"א, הט"ו, פ"י ה"א) ולחם משנה שם, חידושי רבנו חיים הלוי הל' תפילה (פ"ד ה"א)]</w:t>
      </w:r>
    </w:p>
    <w:p w14:paraId="19363426" w14:textId="77777777" w:rsidR="00C93E04" w:rsidRDefault="00C93E04">
      <w:pPr>
        <w:pStyle w:val="BodyText"/>
        <w:rPr>
          <w:rFonts w:hint="cs"/>
          <w:rtl/>
        </w:rPr>
      </w:pPr>
    </w:p>
    <w:sectPr w:rsidR="00C93E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80314"/>
    <w:multiLevelType w:val="hybridMultilevel"/>
    <w:tmpl w:val="90A2FBA6"/>
    <w:lvl w:ilvl="0" w:tplc="5A3E5806">
      <w:start w:val="1"/>
      <w:numFmt w:val="hebrew1"/>
      <w:lvlText w:val="%1."/>
      <w:lvlJc w:val="right"/>
      <w:pPr>
        <w:tabs>
          <w:tab w:val="num" w:pos="360"/>
        </w:tabs>
        <w:ind w:left="0" w:firstLine="0"/>
      </w:pPr>
      <w:rPr>
        <w:rFonts w:cs="Times New Roman" w:hint="default"/>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0248595">
    <w:abstractNumId w:val="0"/>
  </w:num>
  <w:num w:numId="2" w16cid:durableId="139639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36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200"/>
    <w:rsid w:val="00026775"/>
    <w:rsid w:val="00070351"/>
    <w:rsid w:val="00072B3D"/>
    <w:rsid w:val="00160437"/>
    <w:rsid w:val="00161736"/>
    <w:rsid w:val="002001D6"/>
    <w:rsid w:val="0024578B"/>
    <w:rsid w:val="00270FCA"/>
    <w:rsid w:val="00287B66"/>
    <w:rsid w:val="00294363"/>
    <w:rsid w:val="002D1A13"/>
    <w:rsid w:val="002D28A7"/>
    <w:rsid w:val="003905B7"/>
    <w:rsid w:val="003A25C7"/>
    <w:rsid w:val="003E6029"/>
    <w:rsid w:val="00437D0F"/>
    <w:rsid w:val="004545BD"/>
    <w:rsid w:val="0048158C"/>
    <w:rsid w:val="004C24FA"/>
    <w:rsid w:val="004F0074"/>
    <w:rsid w:val="00517FB7"/>
    <w:rsid w:val="005504CD"/>
    <w:rsid w:val="005B2C76"/>
    <w:rsid w:val="005B75BA"/>
    <w:rsid w:val="005C39E5"/>
    <w:rsid w:val="00617EA7"/>
    <w:rsid w:val="0065656A"/>
    <w:rsid w:val="00670F15"/>
    <w:rsid w:val="006870F1"/>
    <w:rsid w:val="006E2C02"/>
    <w:rsid w:val="0077143E"/>
    <w:rsid w:val="0079140D"/>
    <w:rsid w:val="007B5892"/>
    <w:rsid w:val="008B7D88"/>
    <w:rsid w:val="008C505B"/>
    <w:rsid w:val="008C6B9F"/>
    <w:rsid w:val="009570CB"/>
    <w:rsid w:val="00971275"/>
    <w:rsid w:val="00995EC3"/>
    <w:rsid w:val="009A2545"/>
    <w:rsid w:val="009B345D"/>
    <w:rsid w:val="009C74DD"/>
    <w:rsid w:val="00A5775C"/>
    <w:rsid w:val="00A940AA"/>
    <w:rsid w:val="00AE4A8D"/>
    <w:rsid w:val="00B300BC"/>
    <w:rsid w:val="00B62CCA"/>
    <w:rsid w:val="00B7518B"/>
    <w:rsid w:val="00BC69A3"/>
    <w:rsid w:val="00C322A6"/>
    <w:rsid w:val="00C8137C"/>
    <w:rsid w:val="00C93E04"/>
    <w:rsid w:val="00D215D8"/>
    <w:rsid w:val="00D5017A"/>
    <w:rsid w:val="00D911D0"/>
    <w:rsid w:val="00DB1E84"/>
    <w:rsid w:val="00DC6942"/>
    <w:rsid w:val="00DE527E"/>
    <w:rsid w:val="00E030FF"/>
    <w:rsid w:val="00E70AE3"/>
    <w:rsid w:val="00F62833"/>
    <w:rsid w:val="00F65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AEEC"/>
  <w15:chartTrackingRefBased/>
  <w15:docId w15:val="{E420269F-4687-46DD-A733-7C9038FF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bidi/>
      <w:spacing w:before="27" w:after="27" w:line="240" w:lineRule="exact"/>
      <w:jc w:val="center"/>
      <w:outlineLvl w:val="0"/>
    </w:pPr>
    <w:rPr>
      <w:b/>
      <w:bCs/>
      <w:color w:val="000000"/>
      <w:sz w:val="28"/>
      <w:szCs w:val="28"/>
      <w:lang w:bidi="he-IL"/>
    </w:rPr>
  </w:style>
  <w:style w:type="paragraph" w:styleId="Heading4">
    <w:name w:val="heading 4"/>
    <w:basedOn w:val="Normal"/>
    <w:next w:val="Normal"/>
    <w:qFormat/>
    <w:pPr>
      <w:keepNext/>
      <w:bidi/>
      <w:spacing w:before="27" w:after="27" w:line="300" w:lineRule="exact"/>
      <w:jc w:val="center"/>
      <w:outlineLvl w:val="3"/>
    </w:pPr>
    <w:rPr>
      <w:color w:val="000000"/>
      <w:lang w:bidi="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bidi/>
      <w:jc w:val="both"/>
    </w:pPr>
    <w:rPr>
      <w:rFonts w:cs="FrankRuehl"/>
      <w:sz w:val="26"/>
      <w:szCs w:val="26"/>
      <w:lang w:bidi="he-IL"/>
    </w:rPr>
  </w:style>
  <w:style w:type="paragraph" w:styleId="BodyText">
    <w:name w:val="Body Text"/>
    <w:basedOn w:val="Normal"/>
    <w:semiHidden/>
    <w:pPr>
      <w:bidi/>
      <w:jc w:val="both"/>
    </w:pPr>
    <w:rPr>
      <w:rFonts w:cs="FrankRuehl"/>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הרב א</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הרב א</dc:title>
  <dc:subject/>
  <dc:creator>Eliakim Koenigsberg</dc:creator>
  <cp:keywords/>
  <dc:description/>
  <cp:lastModifiedBy>Eliakim Koenigsberg</cp:lastModifiedBy>
  <cp:revision>62</cp:revision>
  <cp:lastPrinted>2008-02-26T23:31:00Z</cp:lastPrinted>
  <dcterms:created xsi:type="dcterms:W3CDTF">2024-04-19T14:34:00Z</dcterms:created>
  <dcterms:modified xsi:type="dcterms:W3CDTF">2024-04-19T17:12:00Z</dcterms:modified>
</cp:coreProperties>
</file>